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84C" w14:textId="77777777" w:rsidR="00377D34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4A4FFB3" wp14:editId="48F23112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E515E7A" wp14:editId="62A2271D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377D34" w14:paraId="65E3B333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8B5E752" w14:textId="77777777" w:rsidR="00377D34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1577EA5E" w14:textId="77777777" w:rsidR="00377D34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3466C6C1" w14:textId="77777777" w:rsidR="00377D34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e-mail: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hyperlink r:id="rId6">
                                    <w:r w:rsidR="00377D34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377D34" w14:paraId="59573D69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6B5EAA9A" w14:textId="77777777" w:rsidR="00377D34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C3D88C" w14:textId="77777777" w:rsidR="00377D34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―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2DBDB16" w14:textId="77777777" w:rsidR="00377D34" w:rsidRDefault="00377D3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515E7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377D34" w14:paraId="65E3B333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18B5E752" w14:textId="77777777" w:rsidR="00377D34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1577EA5E" w14:textId="77777777" w:rsidR="00377D34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3466C6C1" w14:textId="77777777" w:rsidR="00377D34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e-mail: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hyperlink r:id="rId7">
                              <w:r w:rsidR="00377D34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377D34" w14:paraId="59573D69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6B5EAA9A" w14:textId="77777777" w:rsidR="00377D34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C3D88C" w14:textId="77777777" w:rsidR="00377D34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02DBDB16" w14:textId="77777777" w:rsidR="00377D34" w:rsidRDefault="00377D3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4CDF7F" w14:textId="77777777" w:rsidR="00377D34" w:rsidRDefault="00377D34">
      <w:pPr>
        <w:spacing w:before="3"/>
      </w:pPr>
    </w:p>
    <w:p w14:paraId="4F270B90" w14:textId="2C07F203" w:rsidR="00377D34" w:rsidRDefault="00000000">
      <w:pPr>
        <w:pStyle w:val="a4"/>
      </w:pPr>
      <w:r>
        <w:rPr>
          <w:color w:val="000009"/>
          <w:spacing w:val="-2"/>
        </w:rPr>
        <w:t>КОМЕРЦІЙНА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ПРОПОЗИЦІЯ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№1С/</w:t>
      </w:r>
      <w:r w:rsidR="00E37A70">
        <w:rPr>
          <w:color w:val="000009"/>
          <w:spacing w:val="-2"/>
        </w:rPr>
        <w:t>2</w:t>
      </w:r>
      <w:r>
        <w:rPr>
          <w:color w:val="000009"/>
          <w:spacing w:val="-2"/>
        </w:rPr>
        <w:t>Р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429DAC99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7F37A0A" w14:textId="77777777" w:rsidR="00377D34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377D34" w14:paraId="7C34B72D" w14:textId="77777777">
        <w:trPr>
          <w:trHeight w:val="1473"/>
        </w:trPr>
        <w:tc>
          <w:tcPr>
            <w:tcW w:w="10598" w:type="dxa"/>
            <w:gridSpan w:val="2"/>
          </w:tcPr>
          <w:p w14:paraId="35F330B1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4D9FB83D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036BD002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5A179A04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567C7B9F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009F5962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377D34" w14:paraId="56BEED6D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D642A7E" w14:textId="77777777" w:rsidR="00377D34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377D34" w14:paraId="436098D6" w14:textId="77777777" w:rsidTr="0076596A">
        <w:trPr>
          <w:trHeight w:val="4299"/>
        </w:trPr>
        <w:tc>
          <w:tcPr>
            <w:tcW w:w="10598" w:type="dxa"/>
            <w:gridSpan w:val="2"/>
          </w:tcPr>
          <w:p w14:paraId="1300E941" w14:textId="77777777" w:rsidR="0076596A" w:rsidRPr="009A4DCC" w:rsidRDefault="0076596A" w:rsidP="0076596A">
            <w:pPr>
              <w:pStyle w:val="TableParagraph"/>
              <w:spacing w:line="178" w:lineRule="exact"/>
              <w:rPr>
                <w:color w:val="000009"/>
                <w:spacing w:val="-2"/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Розрахунковим</w:t>
            </w:r>
            <w:r w:rsidRPr="009A4DCC">
              <w:rPr>
                <w:color w:val="000009"/>
                <w:spacing w:val="-5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періодом</w:t>
            </w:r>
            <w:r w:rsidRPr="009A4DCC">
              <w:rPr>
                <w:color w:val="000009"/>
                <w:spacing w:val="-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є календарний</w:t>
            </w:r>
            <w:r w:rsidRPr="009A4DCC">
              <w:rPr>
                <w:color w:val="000009"/>
                <w:spacing w:val="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місяць. Розрахунок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вартості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pacing w:val="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pacing w:val="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розрахунковому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періоді</w:t>
            </w:r>
            <w:r w:rsidRPr="009A4DCC">
              <w:rPr>
                <w:color w:val="000009"/>
                <w:spacing w:val="-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наступним чином:</w:t>
            </w:r>
          </w:p>
          <w:p w14:paraId="25012274" w14:textId="17D8BD21" w:rsidR="0076596A" w:rsidRPr="009A4DCC" w:rsidRDefault="0076596A" w:rsidP="0076596A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9A4DCC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9A4DCC">
              <w:rPr>
                <w:b/>
                <w:bCs/>
                <w:sz w:val="16"/>
                <w:szCs w:val="16"/>
              </w:rPr>
              <w:t xml:space="preserve">- </w:t>
            </w:r>
            <w:r w:rsidR="00EC1D70" w:rsidRPr="00EC1D70">
              <w:rPr>
                <w:b/>
                <w:bCs/>
                <w:sz w:val="16"/>
                <w:szCs w:val="16"/>
                <w:lang w:eastAsia="uk-UA"/>
              </w:rPr>
              <w:t>- 5,930731</w:t>
            </w:r>
            <w:r w:rsidR="00EC1D70" w:rsidRPr="00EC1D70">
              <w:rPr>
                <w:b/>
                <w:bCs/>
                <w:sz w:val="16"/>
                <w:szCs w:val="16"/>
                <w:lang w:val="en-US" w:eastAsia="uk-UA"/>
              </w:rPr>
              <w:t xml:space="preserve"> </w:t>
            </w:r>
            <w:r w:rsidRPr="00001BDA">
              <w:rPr>
                <w:b/>
                <w:bCs/>
                <w:sz w:val="16"/>
                <w:szCs w:val="16"/>
              </w:rPr>
              <w:t>гривень/кВт*год без ПДВ</w:t>
            </w:r>
          </w:p>
          <w:p w14:paraId="37938CB0" w14:textId="77777777" w:rsidR="0076596A" w:rsidRPr="009A4DCC" w:rsidRDefault="0076596A" w:rsidP="0076596A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Попередня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(авансова)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оплата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заявленого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обсягу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споживання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>на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розрахунковий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8"/>
                <w:sz w:val="16"/>
                <w:szCs w:val="16"/>
              </w:rPr>
              <w:t>за</w:t>
            </w:r>
            <w:r w:rsidRPr="009A4DCC">
              <w:rPr>
                <w:color w:val="000009"/>
                <w:spacing w:val="40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6CB8AF0A" w14:textId="26228D63" w:rsidR="0076596A" w:rsidRDefault="0076596A" w:rsidP="0076596A">
            <w:pPr>
              <w:pStyle w:val="TableParagraph"/>
              <w:ind w:left="141"/>
              <w:rPr>
                <w:color w:val="000009"/>
                <w:spacing w:val="-4"/>
                <w:sz w:val="16"/>
              </w:rPr>
            </w:pP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9A4DCC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Pr="009A4DCC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EC1D70" w:rsidRPr="00EC1D70">
              <w:rPr>
                <w:b/>
                <w:bCs/>
                <w:sz w:val="16"/>
                <w:szCs w:val="16"/>
                <w:lang w:eastAsia="uk-UA"/>
              </w:rPr>
              <w:t>- 5,930731</w:t>
            </w:r>
            <w:r w:rsidR="00EC1D70" w:rsidRPr="00EC1D70">
              <w:rPr>
                <w:b/>
                <w:bCs/>
                <w:sz w:val="16"/>
                <w:szCs w:val="16"/>
                <w:lang w:val="en-US" w:eastAsia="uk-UA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+Wпер+R,</w:t>
            </w:r>
            <w:r>
              <w:rPr>
                <w:b/>
                <w:color w:val="000009"/>
                <w:spacing w:val="12"/>
                <w:sz w:val="16"/>
              </w:rPr>
              <w:t xml:space="preserve"> </w:t>
            </w:r>
          </w:p>
          <w:p w14:paraId="5AE48B7E" w14:textId="6B9A501E" w:rsidR="00377D34" w:rsidRDefault="00000000">
            <w:pPr>
              <w:pStyle w:val="TableParagraph"/>
              <w:ind w:left="141" w:right="98"/>
              <w:jc w:val="both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Остаточна оплата за спожиту в розрахунковому періоді електричну енергію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здійснюється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за фактичною ціною (тарифом) у розрахунковому періоді. Фактична ціна (тариф) за 1 кВт*год зазначається в акті- купівлі продажу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розраховується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формулою:</w:t>
            </w:r>
          </w:p>
          <w:p w14:paraId="0CC83E23" w14:textId="77777777" w:rsidR="00377D34" w:rsidRDefault="00000000">
            <w:pPr>
              <w:pStyle w:val="TableParagraph"/>
              <w:spacing w:before="1" w:line="193" w:lineRule="exact"/>
              <w:ind w:left="115"/>
              <w:rPr>
                <w:position w:val="1"/>
                <w:sz w:val="16"/>
              </w:rPr>
            </w:pPr>
            <w:r>
              <w:rPr>
                <w:b/>
                <w:color w:val="000009"/>
                <w:spacing w:val="-4"/>
                <w:position w:val="1"/>
                <w:sz w:val="16"/>
              </w:rPr>
              <w:t>Ц</w:t>
            </w:r>
            <w:r>
              <w:rPr>
                <w:b/>
                <w:color w:val="000009"/>
                <w:spacing w:val="-4"/>
                <w:sz w:val="16"/>
              </w:rPr>
              <w:t>факт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=(Вартіть/Обсяг)+Т+W</w:t>
            </w:r>
            <w:r>
              <w:rPr>
                <w:b/>
                <w:color w:val="000009"/>
                <w:spacing w:val="-4"/>
                <w:sz w:val="16"/>
              </w:rPr>
              <w:t>пер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+R,</w:t>
            </w:r>
            <w:r>
              <w:rPr>
                <w:b/>
                <w:color w:val="000009"/>
                <w:spacing w:val="53"/>
                <w:position w:val="1"/>
                <w:sz w:val="16"/>
              </w:rPr>
              <w:t xml:space="preserve"> </w:t>
            </w:r>
            <w:r>
              <w:rPr>
                <w:color w:val="000009"/>
                <w:spacing w:val="-5"/>
                <w:position w:val="1"/>
                <w:sz w:val="16"/>
              </w:rPr>
              <w:t>де</w:t>
            </w:r>
          </w:p>
          <w:p w14:paraId="790484A0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Вартість</w:t>
            </w:r>
            <w:r>
              <w:rPr>
                <w:b/>
                <w:color w:val="000009"/>
                <w:spacing w:val="73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-</w:t>
            </w:r>
            <w:r>
              <w:rPr>
                <w:b/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це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фактична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6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купівлі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7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спожитої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Споживачем,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7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РДД</w:t>
            </w:r>
            <w:r>
              <w:rPr>
                <w:b/>
                <w:color w:val="000009"/>
                <w:spacing w:val="8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-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двосторонніх договорів,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– ринку на добу 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 xml:space="preserve">– внутрішньодобовому ринку,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 ринку і яка визначається, як 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добутків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погодинних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2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годину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 погодинного споживання за площадками групи ―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 Постачальника та всіх витрат Постачальника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(плата за послуги Оператора ринку, Адміністратора розрахунків, внески на регулювання НКРЕКП, витрати на фінансову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гарантію ринків та інші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обов'язкові витрати Постачальника для 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коефіцієнтів, розрахованих згідно вимог 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електропостачальниками та операторами систем розподілу на перехідний період, затвердженого постановою НКРЕКП від 28.12.2018р. №2118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площадок обліку Споживача, які відносяться до групи 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застосовується окремо для площадок обліку групи А і групи Б;</w:t>
            </w:r>
          </w:p>
          <w:p w14:paraId="3D60EC01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Обсяг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–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це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фактичний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обсяг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споживання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електричної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Споживачем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розрахунковому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періоді,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окремо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для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площадок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групи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та групи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Б,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кВт*год;</w:t>
            </w:r>
          </w:p>
          <w:p w14:paraId="4A4AC232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</w:t>
            </w:r>
            <w:r>
              <w:rPr>
                <w:b/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тариф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дорівнює 0,071184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гривень/кВт*год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ПДВ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даної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пропозиції,</w:t>
            </w:r>
          </w:p>
          <w:p w14:paraId="3108DE38" w14:textId="77777777" w:rsidR="00377D34" w:rsidRDefault="00000000">
            <w:pPr>
              <w:pStyle w:val="TableParagraph"/>
              <w:spacing w:before="1"/>
              <w:ind w:left="141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 період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(місяць). Для споживачів, що приєднані до мереж ОСП та сплачують за послугу з передачі напряму в ДП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  <w:p w14:paraId="3C41CCF5" w14:textId="77777777" w:rsidR="00377D34" w:rsidRDefault="00000000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R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–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(тариф)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класу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напруги.</w:t>
            </w:r>
          </w:p>
        </w:tc>
      </w:tr>
      <w:tr w:rsidR="00377D34" w14:paraId="5389B5D4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6BD42EAB" w14:textId="77777777" w:rsidR="00377D34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60F49A9" w14:textId="77777777" w:rsidR="00377D34" w:rsidRDefault="00000000">
            <w:pPr>
              <w:pStyle w:val="TableParagraph"/>
              <w:spacing w:line="182" w:lineRule="exact"/>
              <w:ind w:right="62"/>
              <w:rPr>
                <w:sz w:val="16"/>
              </w:rPr>
            </w:pPr>
            <w:r>
              <w:rPr>
                <w:color w:val="000009"/>
                <w:sz w:val="16"/>
              </w:rPr>
              <w:t>Територія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території,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органи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державної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влади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тимчасово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 або здійснюють не в повному обсязі свої повноваження.</w:t>
            </w:r>
          </w:p>
        </w:tc>
      </w:tr>
      <w:tr w:rsidR="00377D34" w14:paraId="697FA4B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5117342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4EDA663C" w14:textId="77777777">
        <w:trPr>
          <w:trHeight w:val="2412"/>
        </w:trPr>
        <w:tc>
          <w:tcPr>
            <w:tcW w:w="10598" w:type="dxa"/>
            <w:gridSpan w:val="2"/>
          </w:tcPr>
          <w:p w14:paraId="24D55FBE" w14:textId="77777777" w:rsidR="003434E0" w:rsidRDefault="003434E0" w:rsidP="003434E0">
            <w:pPr>
              <w:pStyle w:val="TableParagraph"/>
              <w:ind w:right="111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Оплата електричної енергії здійснюється Споживачем самостійно у формі 100% попередньої (авансової) оплати заявленого Споживачем обсягу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на розрахунковий період з остаточним розрахунком, що проводиться за фактично відпущену електричну енергію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 з даними комерційного обліку.</w:t>
            </w:r>
          </w:p>
          <w:p w14:paraId="28C6B1AD" w14:textId="77777777" w:rsidR="003434E0" w:rsidRDefault="003434E0" w:rsidP="003434E0">
            <w:pPr>
              <w:pStyle w:val="TableParagraph"/>
              <w:ind w:right="11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Попередня (авансова) оплата (далі — А) здійснюється Споживачем самостійно </w:t>
            </w:r>
            <w:r>
              <w:rPr>
                <w:b/>
                <w:color w:val="000009"/>
                <w:sz w:val="16"/>
              </w:rPr>
              <w:t xml:space="preserve">до 25 </w:t>
            </w:r>
            <w:r>
              <w:rPr>
                <w:color w:val="000009"/>
                <w:sz w:val="16"/>
              </w:rPr>
              <w:t>числа місяця, що передує розрахунковому, в розмірі, що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 за наступною формулою:</w:t>
            </w:r>
          </w:p>
          <w:p w14:paraId="699AEF6B" w14:textId="77777777" w:rsidR="003434E0" w:rsidRDefault="003434E0" w:rsidP="003434E0">
            <w:pPr>
              <w:pStyle w:val="TableParagraph"/>
              <w:ind w:right="103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А = 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 xml:space="preserve">де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 xml:space="preserve">заяв </w:t>
            </w:r>
            <w:r>
              <w:rPr>
                <w:color w:val="000009"/>
                <w:position w:val="1"/>
                <w:sz w:val="16"/>
              </w:rPr>
              <w:t>- заявлений Споживачем обсяг споживання електричної енергії на розрахунковий період. Сума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 xml:space="preserve">визначається після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періоду. Сума переплати Споживача зараховується в 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пізніше 5 банківських днів з дня отримання рахунку.</w:t>
            </w:r>
          </w:p>
          <w:p w14:paraId="77DFD733" w14:textId="77777777" w:rsidR="003434E0" w:rsidRDefault="003434E0" w:rsidP="003434E0">
            <w:pPr>
              <w:pStyle w:val="TableParagraph"/>
              <w:ind w:right="118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</w:t>
            </w:r>
          </w:p>
          <w:p w14:paraId="7F327C60" w14:textId="614FBEFB" w:rsidR="00377D34" w:rsidRDefault="003434E0" w:rsidP="003434E0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та/або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377D34" w14:paraId="72D19859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B90F346" w14:textId="77777777" w:rsidR="00377D34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377D34" w14:paraId="79EB1BA3" w14:textId="77777777">
        <w:trPr>
          <w:trHeight w:val="1122"/>
        </w:trPr>
        <w:tc>
          <w:tcPr>
            <w:tcW w:w="10598" w:type="dxa"/>
            <w:gridSpan w:val="2"/>
          </w:tcPr>
          <w:p w14:paraId="6DCE78F4" w14:textId="77777777" w:rsidR="00377D34" w:rsidRDefault="00000000">
            <w:pPr>
              <w:pStyle w:val="TableParagraph"/>
              <w:ind w:right="135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250314C4" w14:textId="77777777" w:rsidR="00377D34" w:rsidRDefault="00000000">
            <w:pPr>
              <w:pStyle w:val="TableParagraph"/>
              <w:spacing w:line="235" w:lineRule="auto"/>
              <w:ind w:right="135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02405AE1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01C3779A" wp14:editId="42D01048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104647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21B70" id="Group 3" o:spid="_x0000_s1026" style="position:absolute;margin-left:377.45pt;margin-top:8.25pt;width:2.25pt;height:.85pt;z-index:-15826944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377D34" w14:paraId="77427F5A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4B903B5F" w14:textId="77777777" w:rsidR="00377D34" w:rsidRDefault="00000000">
            <w:pPr>
              <w:pStyle w:val="TableParagraph"/>
              <w:spacing w:line="162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3C02D5E1" w14:textId="77777777">
        <w:trPr>
          <w:trHeight w:val="1288"/>
        </w:trPr>
        <w:tc>
          <w:tcPr>
            <w:tcW w:w="10598" w:type="dxa"/>
            <w:gridSpan w:val="2"/>
          </w:tcPr>
          <w:p w14:paraId="4D1CA9B6" w14:textId="77777777" w:rsidR="00377D34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 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377D34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377D34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5FA79B6F" w14:textId="77777777" w:rsidR="00377D34" w:rsidRDefault="00000000">
            <w:pPr>
              <w:pStyle w:val="TableParagraph"/>
              <w:spacing w:line="184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377D34" w14:paraId="03AF3938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53D3E96F" w14:textId="77777777" w:rsidR="00377D34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377D34" w14:paraId="2AD042A9" w14:textId="77777777">
        <w:trPr>
          <w:trHeight w:val="551"/>
        </w:trPr>
        <w:tc>
          <w:tcPr>
            <w:tcW w:w="10598" w:type="dxa"/>
            <w:gridSpan w:val="2"/>
          </w:tcPr>
          <w:p w14:paraId="7432D06A" w14:textId="77777777" w:rsidR="00377D34" w:rsidRDefault="00000000">
            <w:pPr>
              <w:pStyle w:val="TableParagraph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зазначеного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―Спосіб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оплати‖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фактичної</w:t>
            </w:r>
          </w:p>
          <w:p w14:paraId="5C725FC0" w14:textId="77777777" w:rsidR="00377D34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заборгованість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урахуванням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індексу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також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3%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річних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заборгованості.</w:t>
            </w:r>
          </w:p>
        </w:tc>
      </w:tr>
    </w:tbl>
    <w:p w14:paraId="129A152E" w14:textId="77777777" w:rsidR="00377D34" w:rsidRDefault="00377D34">
      <w:pPr>
        <w:pStyle w:val="TableParagraph"/>
        <w:spacing w:line="168" w:lineRule="exact"/>
        <w:rPr>
          <w:sz w:val="16"/>
        </w:rPr>
        <w:sectPr w:rsidR="00377D34">
          <w:type w:val="continuous"/>
          <w:pgSz w:w="11920" w:h="16850"/>
          <w:pgMar w:top="700" w:right="425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2D735EE8" w14:textId="77777777">
        <w:trPr>
          <w:trHeight w:val="919"/>
        </w:trPr>
        <w:tc>
          <w:tcPr>
            <w:tcW w:w="10598" w:type="dxa"/>
            <w:gridSpan w:val="2"/>
          </w:tcPr>
          <w:p w14:paraId="3C2B39A3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 місяць 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менше, ніж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 не нараховується.</w:t>
            </w:r>
          </w:p>
          <w:p w14:paraId="614EF755" w14:textId="77777777" w:rsidR="00377D34" w:rsidRDefault="00000000">
            <w:pPr>
              <w:pStyle w:val="TableParagraph"/>
              <w:spacing w:line="186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377D34" w14:paraId="1064B7E2" w14:textId="77777777">
        <w:trPr>
          <w:trHeight w:val="179"/>
        </w:trPr>
        <w:tc>
          <w:tcPr>
            <w:tcW w:w="3937" w:type="dxa"/>
            <w:shd w:val="clear" w:color="auto" w:fill="A6A6A6"/>
          </w:tcPr>
          <w:p w14:paraId="3E0CBAC1" w14:textId="77777777" w:rsidR="00377D34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9655B1A" w14:textId="77777777" w:rsidR="00377D34" w:rsidRDefault="0000000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377D34" w14:paraId="01579E68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2EF1EDD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2A7FBBE2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377D34" w14:paraId="02681722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64A2F9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Можливість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</w:t>
            </w:r>
            <w:r>
              <w:rPr>
                <w:b/>
                <w:color w:val="000009"/>
                <w:spacing w:val="-4"/>
                <w:sz w:val="16"/>
              </w:rPr>
              <w:t>остачання ―захищеним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споживачам‖</w:t>
            </w:r>
          </w:p>
        </w:tc>
        <w:tc>
          <w:tcPr>
            <w:tcW w:w="6661" w:type="dxa"/>
          </w:tcPr>
          <w:p w14:paraId="44CCDDDC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377D34" w14:paraId="777AE737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E4C12D2" w14:textId="77777777" w:rsidR="00377D34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377D34" w14:paraId="7F966FF8" w14:textId="77777777">
        <w:trPr>
          <w:trHeight w:val="184"/>
        </w:trPr>
        <w:tc>
          <w:tcPr>
            <w:tcW w:w="10598" w:type="dxa"/>
            <w:gridSpan w:val="2"/>
          </w:tcPr>
          <w:p w14:paraId="41053386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377D34" w14:paraId="7E9A6763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9528A8F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377D34" w14:paraId="33A6DA96" w14:textId="77777777">
        <w:trPr>
          <w:trHeight w:val="1657"/>
        </w:trPr>
        <w:tc>
          <w:tcPr>
            <w:tcW w:w="10598" w:type="dxa"/>
            <w:gridSpan w:val="2"/>
          </w:tcPr>
          <w:p w14:paraId="047D4032" w14:textId="77777777" w:rsidR="00377D34" w:rsidRDefault="00000000">
            <w:pPr>
              <w:pStyle w:val="TableParagraph"/>
              <w:spacing w:line="237" w:lineRule="auto"/>
              <w:ind w:right="78"/>
              <w:jc w:val="both"/>
              <w:rPr>
                <w:b/>
                <w:sz w:val="16"/>
              </w:rPr>
            </w:pPr>
            <w:r>
              <w:rPr>
                <w:color w:val="000009"/>
                <w:sz w:val="16"/>
              </w:rPr>
              <w:t>Договір на умовах цієї комерційної пропозиції набирає чинності з дня,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 отримання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ТОВ «Хмельницькенергозбут» заяви-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якій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вказано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обрання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Комерційної</w:t>
            </w:r>
            <w:r>
              <w:rPr>
                <w:b/>
                <w:color w:val="000009"/>
                <w:spacing w:val="35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пропозиції</w:t>
            </w:r>
          </w:p>
          <w:p w14:paraId="54148220" w14:textId="28BC5668" w:rsidR="00377D34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№1С/</w:t>
            </w:r>
            <w:r w:rsidR="00E37A70">
              <w:rPr>
                <w:b/>
                <w:color w:val="000009"/>
                <w:sz w:val="16"/>
              </w:rPr>
              <w:t>2</w:t>
            </w:r>
            <w:r>
              <w:rPr>
                <w:b/>
                <w:color w:val="000009"/>
                <w:sz w:val="16"/>
              </w:rPr>
              <w:t xml:space="preserve">Р,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 критеріям обраної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пропозиції. Умови даної комерційної пропозиції для діючих Договорів набирають чинності з 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.202</w:t>
            </w:r>
            <w:r w:rsidR="0076596A">
              <w:rPr>
                <w:b/>
                <w:color w:val="000009"/>
                <w:sz w:val="16"/>
              </w:rPr>
              <w:t>5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 умовах даної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 укладається на строк один календарний місяць та вважається продовженим на кожен наступний календарний місяць, якщо жодна зі Сторін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 не відмовиться від його пролонгації не пізніше ніж за 21 календарний день до передбачуваної дати припинення (початку 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періоду). У разі, якщо на момент подання заяви-приєднання до Договору на об'єкт Споживача було припинено/призупинено постачання 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 або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 послуг з розподілу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 електричної енергії,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 постачання здійснюється після відновлення, 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</w:p>
          <w:p w14:paraId="31D0D5CD" w14:textId="77777777" w:rsidR="00377D34" w:rsidRDefault="00000000">
            <w:pPr>
              <w:pStyle w:val="TableParagraph"/>
              <w:spacing w:line="170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377D34" w14:paraId="177726C5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31C806A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377D34" w14:paraId="2627B6F2" w14:textId="77777777">
        <w:trPr>
          <w:trHeight w:val="554"/>
        </w:trPr>
        <w:tc>
          <w:tcPr>
            <w:tcW w:w="10598" w:type="dxa"/>
            <w:gridSpan w:val="2"/>
          </w:tcPr>
          <w:p w14:paraId="51171940" w14:textId="77777777" w:rsidR="00377D34" w:rsidRDefault="00000000">
            <w:pPr>
              <w:pStyle w:val="TableParagraph"/>
              <w:spacing w:line="237" w:lineRule="auto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Вартість послуг 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електричної енергії. Вартість послуг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передачі електричної енергії 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 кВт*год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ОСР,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2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випадків,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коли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об'єктів</w:t>
            </w:r>
          </w:p>
          <w:p w14:paraId="7E30833D" w14:textId="77777777" w:rsidR="00377D34" w:rsidRDefault="00000000">
            <w:pPr>
              <w:pStyle w:val="TableParagraph"/>
              <w:spacing w:line="170" w:lineRule="exact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оплачує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ОСП</w:t>
            </w:r>
          </w:p>
        </w:tc>
      </w:tr>
      <w:tr w:rsidR="00377D34" w14:paraId="5182EA58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5CA21816" w14:textId="77777777" w:rsidR="00377D34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377D34" w14:paraId="57612200" w14:textId="77777777">
        <w:trPr>
          <w:trHeight w:val="3369"/>
        </w:trPr>
        <w:tc>
          <w:tcPr>
            <w:tcW w:w="10598" w:type="dxa"/>
            <w:gridSpan w:val="2"/>
          </w:tcPr>
          <w:p w14:paraId="26651075" w14:textId="77777777" w:rsidR="00377D34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E350DDB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24614AA0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3789B3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04E76493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C0A1BD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6ADAE909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6B2AE79E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68048139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0FDE460C" w14:textId="77777777" w:rsidR="00377D34" w:rsidRDefault="00000000">
            <w:pPr>
              <w:pStyle w:val="TableParagraph"/>
              <w:ind w:right="113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 разі порушення Споживачем термінів оплати, вказаних в розділі ―Спосіб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5D31E1C5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DAF313C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2500AF81" w14:textId="77777777" w:rsidR="00377D34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659A023" w14:textId="77777777" w:rsidR="00377D34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4462382F" w14:textId="77777777" w:rsidR="00377D34" w:rsidRDefault="00377D34">
      <w:pPr>
        <w:spacing w:before="142"/>
        <w:rPr>
          <w:b/>
          <w:sz w:val="20"/>
        </w:rPr>
      </w:pPr>
    </w:p>
    <w:p w14:paraId="07124948" w14:textId="77777777" w:rsidR="00377D34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6391F957" w14:textId="77777777" w:rsidR="00377D34" w:rsidRDefault="00000000">
      <w:pPr>
        <w:pStyle w:val="a3"/>
        <w:spacing w:before="66"/>
        <w:ind w:left="284" w:right="5298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«Хмельницькенергозбут»</w:t>
      </w:r>
    </w:p>
    <w:p w14:paraId="7217628F" w14:textId="77777777" w:rsidR="00377D34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0D82FC" wp14:editId="7866CC71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B0EC0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BE1585" wp14:editId="094C5C92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E92F8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062CEDA1" w14:textId="77777777" w:rsidR="00377D34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377D34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5CA"/>
    <w:multiLevelType w:val="hybridMultilevel"/>
    <w:tmpl w:val="728E4376"/>
    <w:lvl w:ilvl="0" w:tplc="8C46F270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4938601A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611857DC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18D28952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88DA7BD8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9D2289F6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0200F936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40AA3E0A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62607C80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 w15:restartNumberingAfterBreak="0">
    <w:nsid w:val="2E06485A"/>
    <w:multiLevelType w:val="hybridMultilevel"/>
    <w:tmpl w:val="D10E91C4"/>
    <w:lvl w:ilvl="0" w:tplc="7F6A79C8">
      <w:numFmt w:val="bullet"/>
      <w:lvlText w:val="-"/>
      <w:lvlJc w:val="left"/>
      <w:pPr>
        <w:ind w:left="218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8"/>
        <w:szCs w:val="18"/>
        <w:lang w:val="uk-UA" w:eastAsia="en-US" w:bidi="ar-SA"/>
      </w:rPr>
    </w:lvl>
    <w:lvl w:ilvl="1" w:tplc="5BAC45D6">
      <w:numFmt w:val="bullet"/>
      <w:lvlText w:val="•"/>
      <w:lvlJc w:val="left"/>
      <w:pPr>
        <w:ind w:left="1256" w:hanging="104"/>
      </w:pPr>
      <w:rPr>
        <w:lang w:val="uk-UA" w:eastAsia="en-US" w:bidi="ar-SA"/>
      </w:rPr>
    </w:lvl>
    <w:lvl w:ilvl="2" w:tplc="74008894">
      <w:numFmt w:val="bullet"/>
      <w:lvlText w:val="•"/>
      <w:lvlJc w:val="left"/>
      <w:pPr>
        <w:ind w:left="2293" w:hanging="104"/>
      </w:pPr>
      <w:rPr>
        <w:lang w:val="uk-UA" w:eastAsia="en-US" w:bidi="ar-SA"/>
      </w:rPr>
    </w:lvl>
    <w:lvl w:ilvl="3" w:tplc="05FC02FC">
      <w:numFmt w:val="bullet"/>
      <w:lvlText w:val="•"/>
      <w:lvlJc w:val="left"/>
      <w:pPr>
        <w:ind w:left="3330" w:hanging="104"/>
      </w:pPr>
      <w:rPr>
        <w:lang w:val="uk-UA" w:eastAsia="en-US" w:bidi="ar-SA"/>
      </w:rPr>
    </w:lvl>
    <w:lvl w:ilvl="4" w:tplc="C068EF80">
      <w:numFmt w:val="bullet"/>
      <w:lvlText w:val="•"/>
      <w:lvlJc w:val="left"/>
      <w:pPr>
        <w:ind w:left="4367" w:hanging="104"/>
      </w:pPr>
      <w:rPr>
        <w:lang w:val="uk-UA" w:eastAsia="en-US" w:bidi="ar-SA"/>
      </w:rPr>
    </w:lvl>
    <w:lvl w:ilvl="5" w:tplc="90B269D4">
      <w:numFmt w:val="bullet"/>
      <w:lvlText w:val="•"/>
      <w:lvlJc w:val="left"/>
      <w:pPr>
        <w:ind w:left="5404" w:hanging="104"/>
      </w:pPr>
      <w:rPr>
        <w:lang w:val="uk-UA" w:eastAsia="en-US" w:bidi="ar-SA"/>
      </w:rPr>
    </w:lvl>
    <w:lvl w:ilvl="6" w:tplc="765412D4">
      <w:numFmt w:val="bullet"/>
      <w:lvlText w:val="•"/>
      <w:lvlJc w:val="left"/>
      <w:pPr>
        <w:ind w:left="6440" w:hanging="104"/>
      </w:pPr>
      <w:rPr>
        <w:lang w:val="uk-UA" w:eastAsia="en-US" w:bidi="ar-SA"/>
      </w:rPr>
    </w:lvl>
    <w:lvl w:ilvl="7" w:tplc="D488EA20">
      <w:numFmt w:val="bullet"/>
      <w:lvlText w:val="•"/>
      <w:lvlJc w:val="left"/>
      <w:pPr>
        <w:ind w:left="7477" w:hanging="104"/>
      </w:pPr>
      <w:rPr>
        <w:lang w:val="uk-UA" w:eastAsia="en-US" w:bidi="ar-SA"/>
      </w:rPr>
    </w:lvl>
    <w:lvl w:ilvl="8" w:tplc="4EAA64B0">
      <w:numFmt w:val="bullet"/>
      <w:lvlText w:val="•"/>
      <w:lvlJc w:val="left"/>
      <w:pPr>
        <w:ind w:left="8514" w:hanging="104"/>
      </w:pPr>
      <w:rPr>
        <w:lang w:val="uk-UA" w:eastAsia="en-US" w:bidi="ar-SA"/>
      </w:rPr>
    </w:lvl>
  </w:abstractNum>
  <w:abstractNum w:abstractNumId="2" w15:restartNumberingAfterBreak="0">
    <w:nsid w:val="4D94705C"/>
    <w:multiLevelType w:val="hybridMultilevel"/>
    <w:tmpl w:val="898ADF5E"/>
    <w:lvl w:ilvl="0" w:tplc="B418799C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B2027A3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1D72EAEC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EC424A3C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48EE4B0E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D46CECA4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08F4C080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63122DE8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73805B1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1279481960">
    <w:abstractNumId w:val="0"/>
  </w:num>
  <w:num w:numId="2" w16cid:durableId="1524130990">
    <w:abstractNumId w:val="2"/>
  </w:num>
  <w:num w:numId="3" w16cid:durableId="138386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34"/>
    <w:rsid w:val="00054238"/>
    <w:rsid w:val="0005675D"/>
    <w:rsid w:val="000961D2"/>
    <w:rsid w:val="00123896"/>
    <w:rsid w:val="00167EDC"/>
    <w:rsid w:val="001824A6"/>
    <w:rsid w:val="001E3EAA"/>
    <w:rsid w:val="002B5825"/>
    <w:rsid w:val="00321C2D"/>
    <w:rsid w:val="003434E0"/>
    <w:rsid w:val="00377D34"/>
    <w:rsid w:val="003E5C75"/>
    <w:rsid w:val="00441233"/>
    <w:rsid w:val="006338AD"/>
    <w:rsid w:val="0076596A"/>
    <w:rsid w:val="009D5E1C"/>
    <w:rsid w:val="00A06BAF"/>
    <w:rsid w:val="00A50CF6"/>
    <w:rsid w:val="00AA22D2"/>
    <w:rsid w:val="00B73782"/>
    <w:rsid w:val="00D06731"/>
    <w:rsid w:val="00E37A70"/>
    <w:rsid w:val="00E725DA"/>
    <w:rsid w:val="00EC1D70"/>
    <w:rsid w:val="00F5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0921B"/>
  <w15:docId w15:val="{6C7A6279-9509-414C-B4AF-FC2DF74F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1" w:after="3"/>
      <w:ind w:left="294" w:right="1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7544</Words>
  <Characters>4301</Characters>
  <Application>Microsoft Office Word</Application>
  <DocSecurity>0</DocSecurity>
  <Lines>35</Lines>
  <Paragraphs>23</Paragraphs>
  <ScaleCrop>false</ScaleCrop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Tsaruk Serj</dc:creator>
  <cp:lastModifiedBy>Serj Tsaruk</cp:lastModifiedBy>
  <cp:revision>6</cp:revision>
  <dcterms:created xsi:type="dcterms:W3CDTF">2026-05-20T08:46:00Z</dcterms:created>
  <dcterms:modified xsi:type="dcterms:W3CDTF">2026-05-20T09:00:00Z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2010</vt:lpwstr>
  </property>
</Properties>
</file>