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17EAD441"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123408">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6FD67D09"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321C2D" w:rsidRPr="00321C2D">
              <w:rPr>
                <w:b/>
                <w:bCs/>
                <w:sz w:val="16"/>
                <w:szCs w:val="16"/>
                <w:lang w:eastAsia="uk-UA"/>
              </w:rPr>
              <w:t>6,354104</w:t>
            </w:r>
            <w:r w:rsidR="00321C2D" w:rsidRPr="00321C2D">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458C6361"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321C2D" w:rsidRPr="00321C2D">
              <w:rPr>
                <w:b/>
                <w:bCs/>
                <w:sz w:val="16"/>
                <w:szCs w:val="16"/>
                <w:lang w:eastAsia="uk-UA"/>
              </w:rPr>
              <w:t>6,354104</w:t>
            </w:r>
            <w:r w:rsidR="00321C2D" w:rsidRPr="00321C2D">
              <w:rPr>
                <w:b/>
                <w:sz w:val="16"/>
                <w:szCs w:val="16"/>
                <w:lang w:val="en-US"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01231969"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123408" w:rsidRPr="00123408">
              <w:rPr>
                <w:color w:val="000009"/>
                <w:spacing w:val="-2"/>
                <w:sz w:val="16"/>
              </w:rPr>
              <w:t>0,131184</w:t>
            </w:r>
            <w:r w:rsidR="00123408">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687ACDBF" w14:textId="77777777" w:rsidR="0029196E" w:rsidRPr="0029196E" w:rsidRDefault="0029196E" w:rsidP="0029196E">
            <w:pPr>
              <w:pStyle w:val="TableParagraph"/>
              <w:ind w:right="111"/>
              <w:rPr>
                <w:color w:val="000009"/>
                <w:sz w:val="16"/>
              </w:rPr>
            </w:pPr>
            <w:r w:rsidRPr="0029196E">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29196E">
              <w:rPr>
                <w:b/>
                <w:color w:val="000009"/>
                <w:sz w:val="16"/>
              </w:rPr>
              <w:t xml:space="preserve">А = Обсягзаяв*Цпрог, </w:t>
            </w:r>
            <w:r w:rsidRPr="0029196E">
              <w:rPr>
                <w:color w:val="000009"/>
                <w:sz w:val="16"/>
              </w:rPr>
              <w:t>де</w:t>
            </w:r>
          </w:p>
          <w:p w14:paraId="4A341931" w14:textId="77777777" w:rsidR="0029196E" w:rsidRPr="0029196E" w:rsidRDefault="0029196E" w:rsidP="0029196E">
            <w:pPr>
              <w:pStyle w:val="TableParagraph"/>
              <w:ind w:right="111"/>
              <w:rPr>
                <w:color w:val="000009"/>
                <w:sz w:val="16"/>
              </w:rPr>
            </w:pPr>
            <w:r w:rsidRPr="0029196E">
              <w:rPr>
                <w:b/>
                <w:color w:val="000009"/>
                <w:sz w:val="16"/>
              </w:rPr>
              <w:t xml:space="preserve">Обсягзаяв </w:t>
            </w:r>
            <w:r w:rsidRPr="0029196E">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4BB7407F" w14:textId="77777777" w:rsidR="0029196E" w:rsidRPr="0029196E" w:rsidRDefault="0029196E" w:rsidP="0029196E">
            <w:pPr>
              <w:pStyle w:val="TableParagraph"/>
              <w:numPr>
                <w:ilvl w:val="0"/>
                <w:numId w:val="4"/>
              </w:numPr>
              <w:ind w:right="111"/>
              <w:rPr>
                <w:color w:val="000009"/>
                <w:sz w:val="16"/>
              </w:rPr>
            </w:pPr>
            <w:r w:rsidRPr="0029196E">
              <w:rPr>
                <w:color w:val="000009"/>
                <w:sz w:val="16"/>
              </w:rPr>
              <w:t>до 25 числа місяця, що передує розрахунковому – в розмірі 25% від А,</w:t>
            </w:r>
          </w:p>
          <w:p w14:paraId="50321DDB" w14:textId="77777777" w:rsidR="0029196E" w:rsidRPr="0029196E" w:rsidRDefault="0029196E" w:rsidP="0029196E">
            <w:pPr>
              <w:pStyle w:val="TableParagraph"/>
              <w:numPr>
                <w:ilvl w:val="0"/>
                <w:numId w:val="4"/>
              </w:numPr>
              <w:ind w:right="111"/>
              <w:rPr>
                <w:color w:val="000009"/>
                <w:sz w:val="16"/>
              </w:rPr>
            </w:pPr>
            <w:r w:rsidRPr="0029196E">
              <w:rPr>
                <w:color w:val="000009"/>
                <w:sz w:val="16"/>
              </w:rPr>
              <w:t>до 10 числа розрахункового місяця – в розмірі 50% від А,</w:t>
            </w:r>
          </w:p>
          <w:p w14:paraId="2DB02C9B" w14:textId="77777777" w:rsidR="0029196E" w:rsidRPr="0029196E" w:rsidRDefault="0029196E" w:rsidP="0029196E">
            <w:pPr>
              <w:pStyle w:val="TableParagraph"/>
              <w:numPr>
                <w:ilvl w:val="0"/>
                <w:numId w:val="4"/>
              </w:numPr>
              <w:ind w:right="111"/>
              <w:rPr>
                <w:color w:val="000009"/>
                <w:sz w:val="16"/>
              </w:rPr>
            </w:pPr>
            <w:r w:rsidRPr="0029196E">
              <w:rPr>
                <w:color w:val="000009"/>
                <w:sz w:val="16"/>
              </w:rPr>
              <w:t>до 20 числа розрахункового місяця – в розмірі 75% від А,</w:t>
            </w:r>
          </w:p>
          <w:p w14:paraId="5AAC0C2D" w14:textId="77777777" w:rsidR="0029196E" w:rsidRPr="0029196E" w:rsidRDefault="0029196E" w:rsidP="0029196E">
            <w:pPr>
              <w:pStyle w:val="TableParagraph"/>
              <w:numPr>
                <w:ilvl w:val="0"/>
                <w:numId w:val="4"/>
              </w:numPr>
              <w:ind w:right="111"/>
              <w:rPr>
                <w:color w:val="000009"/>
                <w:sz w:val="16"/>
              </w:rPr>
            </w:pPr>
            <w:r w:rsidRPr="0029196E">
              <w:rPr>
                <w:color w:val="000009"/>
                <w:sz w:val="16"/>
              </w:rPr>
              <w:t>до 28 числа розрахункового місяця – в розмірі 100% від А.</w:t>
            </w:r>
          </w:p>
          <w:p w14:paraId="155BFA55" w14:textId="77777777" w:rsidR="0029196E" w:rsidRPr="0029196E" w:rsidRDefault="0029196E" w:rsidP="0029196E">
            <w:pPr>
              <w:pStyle w:val="TableParagraph"/>
              <w:ind w:right="111"/>
              <w:rPr>
                <w:color w:val="000009"/>
                <w:sz w:val="16"/>
              </w:rPr>
            </w:pPr>
            <w:r w:rsidRPr="0029196E">
              <w:rPr>
                <w:color w:val="000009"/>
                <w:sz w:val="16"/>
              </w:rPr>
              <w:t xml:space="preserve">Сума переплати/недоплати Споживача, яка виникла в наслідок різниці між </w:t>
            </w:r>
            <w:r w:rsidRPr="0029196E">
              <w:rPr>
                <w:b/>
                <w:color w:val="000009"/>
                <w:sz w:val="16"/>
              </w:rPr>
              <w:t xml:space="preserve">Цпрог </w:t>
            </w:r>
            <w:r w:rsidRPr="0029196E">
              <w:rPr>
                <w:color w:val="000009"/>
                <w:sz w:val="16"/>
              </w:rPr>
              <w:t xml:space="preserve">та </w:t>
            </w:r>
            <w:r w:rsidRPr="0029196E">
              <w:rPr>
                <w:b/>
                <w:color w:val="000009"/>
                <w:sz w:val="16"/>
              </w:rPr>
              <w:t>Ц</w:t>
            </w:r>
            <w:r w:rsidRPr="0029196E">
              <w:rPr>
                <w:color w:val="000009"/>
                <w:sz w:val="16"/>
              </w:rPr>
              <w:t xml:space="preserve">факт та/або </w:t>
            </w:r>
            <w:r w:rsidRPr="0029196E">
              <w:rPr>
                <w:b/>
                <w:color w:val="000009"/>
                <w:sz w:val="16"/>
              </w:rPr>
              <w:t xml:space="preserve">Обсягзаяв </w:t>
            </w:r>
            <w:r w:rsidRPr="0029196E">
              <w:rPr>
                <w:color w:val="000009"/>
                <w:sz w:val="16"/>
              </w:rPr>
              <w:t xml:space="preserve">та </w:t>
            </w:r>
            <w:r w:rsidRPr="0029196E">
              <w:rPr>
                <w:b/>
                <w:color w:val="000009"/>
                <w:sz w:val="16"/>
              </w:rPr>
              <w:t xml:space="preserve">Обсяг </w:t>
            </w:r>
            <w:r w:rsidRPr="0029196E">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049F5C82" w14:textId="77777777" w:rsidR="0029196E" w:rsidRPr="0029196E" w:rsidRDefault="0029196E" w:rsidP="0029196E">
            <w:pPr>
              <w:pStyle w:val="TableParagraph"/>
              <w:ind w:right="111"/>
              <w:rPr>
                <w:b/>
                <w:color w:val="000009"/>
                <w:sz w:val="16"/>
              </w:rPr>
            </w:pPr>
            <w:r w:rsidRPr="0029196E">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0ACA198" w:rsidR="00377D34" w:rsidRDefault="0029196E" w:rsidP="0029196E">
            <w:pPr>
              <w:pStyle w:val="TableParagraph"/>
              <w:spacing w:line="167" w:lineRule="exact"/>
              <w:jc w:val="both"/>
              <w:rPr>
                <w:b/>
                <w:sz w:val="16"/>
              </w:rPr>
            </w:pPr>
            <w:r w:rsidRPr="0029196E">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9479F9E"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1FDFA642" w:rsidR="00377D34" w:rsidRDefault="00000000">
            <w:pPr>
              <w:pStyle w:val="TableParagraph"/>
              <w:ind w:right="77"/>
              <w:jc w:val="both"/>
              <w:rPr>
                <w:sz w:val="16"/>
              </w:rPr>
            </w:pPr>
            <w:r>
              <w:rPr>
                <w:b/>
                <w:color w:val="000009"/>
                <w:sz w:val="16"/>
              </w:rPr>
              <w:t>№1С/</w:t>
            </w:r>
            <w:r w:rsidR="00123408">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87CDA"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058B2"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1228149387">
    <w:abstractNumId w:val="1"/>
  </w:num>
  <w:num w:numId="4" w16cid:durableId="47468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123408"/>
    <w:rsid w:val="00242368"/>
    <w:rsid w:val="0029196E"/>
    <w:rsid w:val="00321C2D"/>
    <w:rsid w:val="00377D34"/>
    <w:rsid w:val="00441233"/>
    <w:rsid w:val="006141C7"/>
    <w:rsid w:val="0076596A"/>
    <w:rsid w:val="007F2667"/>
    <w:rsid w:val="00B73782"/>
    <w:rsid w:val="00DF6482"/>
    <w:rsid w:val="00E169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7668</Words>
  <Characters>4372</Characters>
  <Application>Microsoft Office Word</Application>
  <DocSecurity>0</DocSecurity>
  <Lines>36</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4</cp:revision>
  <dcterms:created xsi:type="dcterms:W3CDTF">2026-05-20T09:58:00Z</dcterms:created>
  <dcterms:modified xsi:type="dcterms:W3CDTF">2026-05-20T10:12:00Z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