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77777777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№1С/1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6AD1715B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DB1D74" w:rsidRPr="00DB1D74">
              <w:rPr>
                <w:b/>
                <w:bCs/>
                <w:sz w:val="16"/>
                <w:szCs w:val="16"/>
                <w:lang w:eastAsia="uk-UA"/>
              </w:rPr>
              <w:t>10,04828</w:t>
            </w:r>
            <w:r w:rsidR="00DB1D74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="00DD0801" w:rsidRPr="00DD0801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7AE7186E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DB1D74" w:rsidRPr="00DB1D74">
              <w:rPr>
                <w:b/>
                <w:bCs/>
                <w:sz w:val="16"/>
                <w:szCs w:val="16"/>
                <w:lang w:eastAsia="uk-UA"/>
              </w:rPr>
              <w:t>10,04828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77777777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0,071184 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38BF9C37" w14:textId="77777777" w:rsidR="00D4185C" w:rsidRDefault="00000000">
            <w:pPr>
              <w:pStyle w:val="TableParagraph"/>
              <w:ind w:right="111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Оплата електричної енергії здійснюється Споживачем самостійно у формі 100% попередньої (авансової) оплати заявленого Споживачем обсягу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на розрахунковий період з остаточним розрахунком, що проводиться за фактично відпущену електричну енергію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 з даними комерційного обліку.</w:t>
            </w:r>
          </w:p>
          <w:p w14:paraId="29D8A95F" w14:textId="77777777" w:rsidR="00D4185C" w:rsidRDefault="00000000">
            <w:pPr>
              <w:pStyle w:val="TableParagraph"/>
              <w:ind w:right="11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Попередня (авансова) оплата (далі — А) здійснюється Споживачем самостійно </w:t>
            </w:r>
            <w:r>
              <w:rPr>
                <w:b/>
                <w:color w:val="000009"/>
                <w:sz w:val="16"/>
              </w:rPr>
              <w:t xml:space="preserve">до 25 </w:t>
            </w:r>
            <w:r>
              <w:rPr>
                <w:color w:val="000009"/>
                <w:sz w:val="16"/>
              </w:rPr>
              <w:t>числа місяця, що передує розрахунковому, в розмірі, що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визначається за наступною формулою:</w:t>
            </w:r>
          </w:p>
          <w:p w14:paraId="77E66E9C" w14:textId="77777777" w:rsidR="00D4185C" w:rsidRDefault="00000000">
            <w:pPr>
              <w:pStyle w:val="TableParagraph"/>
              <w:ind w:right="103"/>
              <w:jc w:val="both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А = 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 xml:space="preserve">де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 xml:space="preserve">заяв </w:t>
            </w:r>
            <w:r>
              <w:rPr>
                <w:color w:val="000009"/>
                <w:position w:val="1"/>
                <w:sz w:val="16"/>
              </w:rPr>
              <w:t>- заявлений Споживачем обсяг споживання електричної енергії на розрахунковий період. Сума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 xml:space="preserve">визначається після </w:t>
            </w:r>
            <w:r>
              <w:rPr>
                <w:color w:val="000009"/>
                <w:sz w:val="16"/>
              </w:rPr>
              <w:t>завершення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періоду. Сума переплати Споживача зараховується в якості оплати вартості електричної енергії на наступний розрахунковий період.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 може бути повернута Постачальником на розрахунковий рахунок Споживача за його письмовою заявою. Сума недоплати 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підлягає безумовній оплаті Споживачем не пізніше 5 банківських днів з дня отримання рахунку.</w:t>
            </w:r>
          </w:p>
          <w:p w14:paraId="5E2E535A" w14:textId="77777777" w:rsidR="00D4185C" w:rsidRDefault="00000000">
            <w:pPr>
              <w:pStyle w:val="TableParagraph"/>
              <w:ind w:right="115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</w:t>
            </w:r>
          </w:p>
          <w:p w14:paraId="32408720" w14:textId="77777777" w:rsidR="00D4185C" w:rsidRDefault="00000000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та/або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розрахункових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207415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564A4462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 xml:space="preserve">Комерційної пропозиції №1С/1,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DB1D74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59F07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93D9F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1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0"/>
  </w:num>
  <w:num w:numId="2" w16cid:durableId="155126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56161"/>
    <w:rsid w:val="001E7A37"/>
    <w:rsid w:val="00245CF9"/>
    <w:rsid w:val="002A24AB"/>
    <w:rsid w:val="007E61D7"/>
    <w:rsid w:val="009A4DCC"/>
    <w:rsid w:val="009B3216"/>
    <w:rsid w:val="009D3BB9"/>
    <w:rsid w:val="00D4185C"/>
    <w:rsid w:val="00DB1D74"/>
    <w:rsid w:val="00DD0801"/>
    <w:rsid w:val="00E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7568</Words>
  <Characters>4315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7</cp:revision>
  <dcterms:created xsi:type="dcterms:W3CDTF">2026-05-20T07:31:00Z</dcterms:created>
  <dcterms:modified xsi:type="dcterms:W3CDTF">2026-05-27T08:53:00Z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