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0DF8A8B7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7B049A" w:rsidRPr="007B049A">
              <w:rPr>
                <w:b/>
                <w:bCs/>
                <w:sz w:val="16"/>
                <w:szCs w:val="16"/>
                <w:lang w:eastAsia="uk-UA"/>
              </w:rPr>
              <w:t>5,744937</w:t>
            </w:r>
            <w:r w:rsidR="007B049A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="00173619" w:rsidRPr="00173619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3E74F941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7B049A" w:rsidRPr="007B049A">
              <w:rPr>
                <w:b/>
                <w:bCs/>
                <w:sz w:val="16"/>
                <w:szCs w:val="16"/>
                <w:lang w:eastAsia="uk-UA"/>
              </w:rPr>
              <w:t>5,744937</w:t>
            </w:r>
            <w:r w:rsidR="007B049A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</w:t>
            </w:r>
            <w:proofErr w:type="spellStart"/>
            <w:r w:rsidRPr="009A4DCC">
              <w:rPr>
                <w:b/>
                <w:color w:val="000009"/>
                <w:position w:val="1"/>
                <w:sz w:val="16"/>
              </w:rPr>
              <w:t>Вартіть</w:t>
            </w:r>
            <w:proofErr w:type="spellEnd"/>
            <w:r w:rsidRPr="009A4DCC">
              <w:rPr>
                <w:b/>
                <w:color w:val="000009"/>
                <w:position w:val="1"/>
                <w:sz w:val="16"/>
              </w:rPr>
              <w:t>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ринку електричної енергії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29D8A95F" w14:textId="77777777" w:rsidR="00D4185C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5E2E535A" w14:textId="77777777" w:rsidR="00D4185C" w:rsidRDefault="00000000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Оплата за спожиту електричну енергію (в </w:t>
            </w:r>
            <w:proofErr w:type="spellStart"/>
            <w:r>
              <w:rPr>
                <w:b/>
                <w:color w:val="000009"/>
                <w:sz w:val="16"/>
              </w:rPr>
              <w:t>т.ч</w:t>
            </w:r>
            <w:proofErr w:type="spellEnd"/>
            <w:r>
              <w:rPr>
                <w:b/>
                <w:color w:val="000009"/>
                <w:sz w:val="16"/>
              </w:rPr>
              <w:t>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32408720" w14:textId="77777777" w:rsidR="00D4185C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CCDE1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0BF564AD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C91906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C34D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8233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0"/>
  </w:num>
  <w:num w:numId="2" w16cid:durableId="155126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B28FA"/>
    <w:rsid w:val="001003DD"/>
    <w:rsid w:val="00173619"/>
    <w:rsid w:val="001E7A37"/>
    <w:rsid w:val="002A0697"/>
    <w:rsid w:val="002A24AB"/>
    <w:rsid w:val="00322356"/>
    <w:rsid w:val="0033622F"/>
    <w:rsid w:val="004C41A7"/>
    <w:rsid w:val="005307AD"/>
    <w:rsid w:val="005C5575"/>
    <w:rsid w:val="007B049A"/>
    <w:rsid w:val="007E61D7"/>
    <w:rsid w:val="009A4DCC"/>
    <w:rsid w:val="009B3216"/>
    <w:rsid w:val="009D3BB9"/>
    <w:rsid w:val="00C91906"/>
    <w:rsid w:val="00D4185C"/>
    <w:rsid w:val="00E15408"/>
    <w:rsid w:val="00E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7569</Words>
  <Characters>4315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2</cp:revision>
  <dcterms:created xsi:type="dcterms:W3CDTF">2026-06-09T10:25:00Z</dcterms:created>
  <dcterms:modified xsi:type="dcterms:W3CDTF">2026-06-09T10:25:00Z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